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87" w:rsidRPr="00D11148" w:rsidRDefault="00185C87" w:rsidP="00185C87">
      <w:pPr>
        <w:spacing w:after="0" w:line="240" w:lineRule="auto"/>
        <w:rPr>
          <w:b/>
          <w:color w:val="034EA2"/>
          <w:sz w:val="48"/>
        </w:rPr>
      </w:pPr>
      <w:r w:rsidRPr="00D11148">
        <w:rPr>
          <w:b/>
          <w:color w:val="034EA2"/>
          <w:sz w:val="48"/>
        </w:rPr>
        <w:t>Przedmiotowy system oceniania</w:t>
      </w:r>
    </w:p>
    <w:p w:rsidR="00185C87" w:rsidRPr="00D11148" w:rsidRDefault="00185C87" w:rsidP="00185C87">
      <w:pPr>
        <w:spacing w:after="0" w:line="240" w:lineRule="auto"/>
        <w:rPr>
          <w:b/>
          <w:color w:val="F7941D"/>
          <w:sz w:val="32"/>
        </w:rPr>
      </w:pPr>
      <w:r w:rsidRPr="00D11148">
        <w:rPr>
          <w:b/>
          <w:color w:val="F7941D"/>
          <w:sz w:val="32"/>
        </w:rPr>
        <w:t>KLASA 8</w:t>
      </w:r>
    </w:p>
    <w:p w:rsidR="00185C87" w:rsidRPr="00D11148" w:rsidRDefault="00185C87" w:rsidP="00185C87">
      <w:pPr>
        <w:spacing w:after="0" w:line="240" w:lineRule="auto"/>
        <w:ind w:left="142"/>
        <w:rPr>
          <w:b/>
          <w:color w:val="F7941D"/>
          <w:sz w:val="32"/>
        </w:rPr>
      </w:pPr>
    </w:p>
    <w:p w:rsidR="00185C87" w:rsidRPr="00D11148" w:rsidRDefault="00185C87" w:rsidP="00185C87">
      <w:pPr>
        <w:rPr>
          <w:b/>
          <w:color w:val="F7941D"/>
          <w:sz w:val="32"/>
        </w:rPr>
      </w:pPr>
    </w:p>
    <w:p w:rsidR="00185C87" w:rsidRPr="00D11148" w:rsidRDefault="00185C87" w:rsidP="00185C87">
      <w:pPr>
        <w:rPr>
          <w:b/>
          <w:color w:val="F7941D"/>
          <w:sz w:val="32"/>
        </w:rPr>
      </w:pPr>
      <w:r w:rsidRPr="00D11148">
        <w:rPr>
          <w:b/>
          <w:color w:val="F7941D"/>
          <w:sz w:val="32"/>
        </w:rPr>
        <w:br w:type="page"/>
      </w:r>
    </w:p>
    <w:p w:rsidR="00185C87" w:rsidRDefault="00185C87" w:rsidP="00185C87">
      <w:pPr>
        <w:spacing w:after="0" w:line="240" w:lineRule="auto"/>
        <w:rPr>
          <w:b/>
          <w:color w:val="F7941D"/>
          <w:sz w:val="32"/>
          <w:szCs w:val="32"/>
        </w:rPr>
      </w:pPr>
      <w:r w:rsidRPr="00D11148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4B45FE" w:rsidRPr="00D11148" w:rsidRDefault="004B45F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185C87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85C87" w:rsidRPr="00D11148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z </w:t>
            </w:r>
            <w:proofErr w:type="spellStart"/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HTML-em</w:t>
            </w:r>
            <w:proofErr w:type="spellEnd"/>
          </w:p>
        </w:tc>
      </w:tr>
      <w:tr w:rsidR="00185C87" w:rsidRPr="00D11148" w:rsidTr="004B45FE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HTML-u</w:t>
            </w:r>
            <w:proofErr w:type="spellEnd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internetowych. 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prowadzenie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historię języka znaczników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hipertekstu (HTML) oraz kaskadowych arkuszy stylów (CSS)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gólna struktura dokumentu HTML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Podstawowe zasady d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efiniowani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pomocą nauczyciela ustawia w edytorze tekstu sposób kodowania znaków (UTF-8)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 xml:space="preserve"> pomocą nauczyciela tworzy prosty dokument HTML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wprowadza w edytorze tekstu sposób kodowania znaków (UTF-8)</w:t>
            </w:r>
          </w:p>
          <w:p w:rsidR="00D11148" w:rsidRPr="00D11148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tworzy prosty dokument HTML</w:t>
            </w:r>
          </w:p>
          <w:p w:rsidR="00D11148" w:rsidRPr="00D11148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pojęcia języka znaczników hipertekstu oraz kaskadowych arkuszy stylu</w:t>
            </w:r>
          </w:p>
        </w:tc>
      </w:tr>
      <w:tr w:rsidR="00185C87" w:rsidRPr="00D11148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poprawnie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stosuje elementy CSS</w:t>
            </w:r>
          </w:p>
        </w:tc>
      </w:tr>
      <w:tr w:rsidR="00185C87" w:rsidRPr="00D11148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tworzy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dokument HTML zgodnie z zaleceniami W3C</w:t>
            </w:r>
          </w:p>
        </w:tc>
      </w:tr>
      <w:tr w:rsidR="00185C87" w:rsidRPr="00D11148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potrafi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wyjaśnić rolę, jaką w historii języka HTML </w:t>
            </w:r>
            <w:r w:rsidR="00E542A8" w:rsidRPr="00D11148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odegrali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Tim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Berners-Lee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, Robert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Cailliau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Håkon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Wium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Lie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i 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Bos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>, oraz cel powołania W3C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7802F8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</w:p>
          <w:p w:rsidR="00185C87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proofErr w:type="gram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zastosowaniem CSS – definiowanie właściwości czcionki i akapitu, definiowanie jednostek miar.</w:t>
            </w: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Default="00B75061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  <w:p w:rsidR="00B75061" w:rsidRPr="00D11148" w:rsidRDefault="00B75061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style wpisane w celu sformatowania tekstu</w:t>
            </w:r>
          </w:p>
        </w:tc>
      </w:tr>
      <w:tr w:rsidR="00185C87" w:rsidRPr="00D11148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definiuje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styl i krój czcionki</w:t>
            </w:r>
          </w:p>
        </w:tc>
      </w:tr>
      <w:tr w:rsidR="00185C87" w:rsidRPr="00D11148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różne jednostki miary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definiuje</w:t>
            </w:r>
            <w:proofErr w:type="gramEnd"/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właściwości czcionek (wariant czcionki, wysokość czcionki, odstępy między literami, zmiana wielkości znaków)</w:t>
            </w:r>
          </w:p>
        </w:tc>
      </w:tr>
      <w:tr w:rsidR="00185C87" w:rsidRPr="00D11148" w:rsidTr="004B45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color w:val="231F20"/>
                <w:sz w:val="20"/>
                <w:lang w:val="pl-PL"/>
              </w:rPr>
              <w:t>definiuje</w:t>
            </w:r>
            <w:proofErr w:type="gramEnd"/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właściwości akapitu (odstępy między wyrazami, dekorowanie tekstu, wyrównanie tekstu w poziomie)</w:t>
            </w:r>
          </w:p>
        </w:tc>
      </w:tr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Strona </w:t>
            </w:r>
            <w:r w:rsidR="007802F8"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dobrym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stylu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Definiowanie kolor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umieszcza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nie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znaków specjalnych. Stosowanie wpisanych, osadzonych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style wpisane w celu sformatowania tekstu</w:t>
            </w:r>
          </w:p>
        </w:tc>
      </w:tr>
      <w:tr w:rsidR="00185C87" w:rsidRPr="00D11148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nbsp</w:t>
            </w:r>
            <w:proofErr w:type="spellEnd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;</w:t>
            </w: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185C87" w:rsidRPr="00D11148" w:rsidTr="0099559C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kolory różnych elementów dokumentu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różne jednostki miary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elementy graficzne względem tekstu</w:t>
            </w:r>
          </w:p>
        </w:tc>
      </w:tr>
      <w:tr w:rsidR="00185C87" w:rsidRPr="00D11148" w:rsidTr="0099559C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 osadzone i zewnętrzne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wybór przez klasę</w:t>
            </w:r>
          </w:p>
        </w:tc>
      </w:tr>
      <w:tr w:rsidR="00185C87" w:rsidRPr="00D11148" w:rsidTr="0099559C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T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worzenie elementów interaktywnych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wykorzystaniem 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CSS i </w:t>
            </w:r>
            <w:proofErr w:type="spellStart"/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JavaScript</w:t>
            </w:r>
            <w:proofErr w:type="spellEnd"/>
            <w:r w:rsidR="00EF7E00" w:rsidRPr="00D11148">
              <w:rPr>
                <w:sz w:val="20"/>
                <w:lang w:val="pl-PL"/>
              </w:rPr>
              <w:t xml:space="preserve">. 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Tworzenie </w:t>
            </w:r>
            <w:proofErr w:type="gramStart"/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interaktywnej 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galerii</w:t>
            </w:r>
            <w:proofErr w:type="gramEnd"/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z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djęć.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proofErr w:type="gram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  <w:proofErr w:type="gramEnd"/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proofErr w:type="gram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  <w:proofErr w:type="gramEnd"/>
          </w:p>
        </w:tc>
      </w:tr>
      <w:tr w:rsidR="00185C87" w:rsidRPr="00D11148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z</w:t>
            </w:r>
            <w:proofErr w:type="gram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pomocą nauczyciela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185C87" w:rsidRPr="00D11148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tworzy interaktywną galerię fotografii</w:t>
            </w:r>
          </w:p>
        </w:tc>
      </w:tr>
    </w:tbl>
    <w:p w:rsidR="004B45FE" w:rsidRDefault="004B45FE"/>
    <w:p w:rsidR="00D123A2" w:rsidRDefault="00D123A2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995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Rodzaje witryn WWW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orządkowanie kodu dokumentu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HTML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budowę adresu strony WWW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znaczenie rozszerzenia domeny</w:t>
            </w:r>
          </w:p>
        </w:tc>
      </w:tr>
      <w:tr w:rsidR="00185C87" w:rsidRPr="00D11148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index.</w:t>
            </w:r>
            <w:proofErr w:type="gramStart"/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htm</w:t>
            </w:r>
            <w:proofErr w:type="gram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odnośniki tekstowe i graficzne do innych dokumentów</w:t>
            </w:r>
          </w:p>
        </w:tc>
      </w:tr>
      <w:tr w:rsidR="00185C87" w:rsidRPr="00D11148" w:rsidTr="0099559C">
        <w:trPr>
          <w:trHeight w:val="9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strukturalną budowę dokumentu HTML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rolę znaczników: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proofErr w:type="spell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pomocą nauczyciela stosuje ww. znaczniki do tworzenia dokumentu HTML</w:t>
            </w:r>
          </w:p>
        </w:tc>
      </w:tr>
      <w:tr w:rsidR="00185C87" w:rsidRPr="00D11148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stosuje znaczniki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proofErr w:type="spellEnd"/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br/>
              <w:t>i</w:t>
            </w:r>
            <w:r w:rsidR="00D11148" w:rsidRPr="009955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185C87" w:rsidRPr="00D11148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tworząc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witrynę WWW, pracuje samodzielnie i stosuje własne rozwiązania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color w:val="231F20"/>
                <w:sz w:val="20"/>
                <w:lang w:val="pl-PL"/>
              </w:rPr>
              <w:t>kopiuje</w:t>
            </w:r>
            <w:proofErr w:type="gramEnd"/>
            <w:r w:rsidRPr="00D11148">
              <w:rPr>
                <w:color w:val="231F20"/>
                <w:sz w:val="20"/>
                <w:lang w:val="pl-PL"/>
              </w:rPr>
              <w:t xml:space="preserve"> pliki składowe na serwer WWW i weryfikuje poprawność działania witryny</w:t>
            </w:r>
          </w:p>
        </w:tc>
      </w:tr>
      <w:tr w:rsidR="00185C87" w:rsidRPr="00D11148" w:rsidTr="00995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oprogramowania)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Dozwolony użytek. W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olne oprogramowanie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 Ochrona wizerunku i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bezpieczeństwo </w:t>
            </w:r>
            <w:r w:rsidR="0099559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w sieci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konieczność chronienia utworów (np. programów, zdjęć, stron WWW) 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>, na czym polega naruszenie praw autorskich i jak go uniknąć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pojęcia dozwolon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użyt</w:t>
            </w:r>
            <w:r w:rsidR="00D11148">
              <w:rPr>
                <w:sz w:val="20"/>
                <w:szCs w:val="20"/>
                <w:lang w:val="pl-PL"/>
              </w:rPr>
              <w:t>ku</w:t>
            </w:r>
            <w:r w:rsidRPr="00D11148">
              <w:rPr>
                <w:sz w:val="20"/>
                <w:szCs w:val="20"/>
                <w:lang w:val="pl-PL"/>
              </w:rPr>
              <w:t xml:space="preserve"> prywatn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i ochron</w:t>
            </w:r>
            <w:r w:rsidR="00D11148">
              <w:rPr>
                <w:sz w:val="20"/>
                <w:szCs w:val="20"/>
                <w:lang w:val="pl-PL"/>
              </w:rPr>
              <w:t>y</w:t>
            </w:r>
            <w:r w:rsidRPr="00D11148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color w:val="231F20"/>
                <w:sz w:val="20"/>
                <w:lang w:val="pl-PL"/>
              </w:rPr>
              <w:t>wyjaśnia</w:t>
            </w:r>
            <w:proofErr w:type="gramEnd"/>
            <w:r w:rsidRPr="00D11148">
              <w:rPr>
                <w:color w:val="231F20"/>
                <w:sz w:val="20"/>
                <w:lang w:val="pl-PL"/>
              </w:rPr>
              <w:t>, czym są wolne oprogramowanie</w:t>
            </w:r>
            <w:r w:rsidR="00EF7E00" w:rsidRPr="00D11148">
              <w:rPr>
                <w:color w:val="231F20"/>
                <w:sz w:val="20"/>
                <w:lang w:val="pl-PL"/>
              </w:rPr>
              <w:t>,</w:t>
            </w:r>
            <w:r w:rsidRPr="00D11148">
              <w:rPr>
                <w:color w:val="231F20"/>
                <w:sz w:val="20"/>
                <w:lang w:val="pl-PL"/>
              </w:rPr>
              <w:t xml:space="preserve"> i </w:t>
            </w:r>
            <w:r w:rsidR="00EF7E00" w:rsidRPr="00D11148">
              <w:rPr>
                <w:color w:val="231F20"/>
                <w:sz w:val="20"/>
                <w:lang w:val="pl-PL"/>
              </w:rPr>
              <w:t xml:space="preserve">krótko charakteryzuje </w:t>
            </w:r>
            <w:r w:rsidRPr="00D11148">
              <w:rPr>
                <w:color w:val="231F20"/>
                <w:sz w:val="20"/>
                <w:lang w:val="pl-PL"/>
              </w:rPr>
              <w:t>cztery rodzaje wolności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praktyczne znaczenie najważniejsz</w:t>
            </w:r>
            <w:r w:rsidR="00EF7E00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ych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:rsidR="004B45FE" w:rsidRDefault="004B45FE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9559C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Wstęp do języka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</w:t>
            </w:r>
          </w:p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z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z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pomocą nauczyciela rysuje proste rysunki z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C8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 xml:space="preserve">rysuje proste rysunki z wykorzystaniem modułu </w:t>
            </w:r>
            <w:proofErr w:type="spellStart"/>
            <w:r w:rsidR="00185C87"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proofErr w:type="gramStart"/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rysuje</w:t>
            </w:r>
            <w:proofErr w:type="gramEnd"/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za pomocą 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kolorow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ego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pisak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a</w:t>
            </w:r>
          </w:p>
          <w:p w:rsidR="00185C87" w:rsidRPr="00D11148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proofErr w:type="gramStart"/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wypełnia</w:t>
            </w:r>
            <w:proofErr w:type="gramEnd"/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rysunki kolorem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prostych rysunków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>złożo</w:t>
            </w:r>
            <w:r w:rsidRPr="00D11148">
              <w:rPr>
                <w:rFonts w:asciiTheme="minorHAnsi" w:hAnsiTheme="minorHAnsi"/>
                <w:lang w:val="pl-PL" w:eastAsia="en-US"/>
              </w:rPr>
              <w:t>nych rysunków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hideMark/>
          </w:tcPr>
          <w:p w:rsidR="00185C87" w:rsidRPr="00D11148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z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pomocą nauczyciela definiuje funkcje bez parametru</w:t>
            </w:r>
          </w:p>
        </w:tc>
      </w:tr>
      <w:tr w:rsidR="00185C87" w:rsidRPr="00D11148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>definiuje funkcje bez parametru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definiuje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funkcje z parametrem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funkcji pomocniczych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powtarzające się wzory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rysuje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kwadratowe posadzki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 xml:space="preserve"> o złożonych wzorach</w:t>
            </w:r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p w:rsidR="00D123A2" w:rsidRDefault="00D123A2"/>
    <w:p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45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tekst na ekranie</w:t>
            </w:r>
          </w:p>
        </w:tc>
      </w:tr>
      <w:tr w:rsidR="00185C87" w:rsidRPr="00D11148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proste efekty graficzne za pomocą wypisywanego tekstu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efekty graficzne za pomocą wypisywanego tekstu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wczytuje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dane tekstowe z klawiatury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pro</w:t>
            </w:r>
            <w:r w:rsidR="00D11148">
              <w:rPr>
                <w:rFonts w:asciiTheme="minorHAnsi" w:hAnsiTheme="minorHAnsi"/>
                <w:lang w:val="pl-PL" w:eastAsia="en-US"/>
              </w:rPr>
              <w:t>gramuje</w:t>
            </w:r>
            <w:proofErr w:type="gramEnd"/>
            <w:r w:rsidR="00D11148">
              <w:rPr>
                <w:rFonts w:asciiTheme="minorHAnsi" w:hAnsiTheme="minorHAnsi"/>
                <w:lang w:val="pl-PL" w:eastAsia="en-US"/>
              </w:rPr>
              <w:t xml:space="preserve"> dialog komputera </w:t>
            </w:r>
            <w:r w:rsidRPr="00D11148">
              <w:rPr>
                <w:rFonts w:asciiTheme="minorHAnsi" w:hAnsiTheme="minorHAnsi"/>
                <w:lang w:val="pl-PL" w:eastAsia="en-US"/>
              </w:rPr>
              <w:t>z użytkownikiem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rozwiązuje dodatkowe zadania programistyczne</w:t>
            </w:r>
            <w:r w:rsidR="00807944" w:rsidRPr="00D11148">
              <w:rPr>
                <w:rFonts w:asciiTheme="minorHAnsi" w:hAnsiTheme="minorHAnsi"/>
                <w:lang w:val="pl-PL" w:eastAsia="en-US"/>
              </w:rPr>
              <w:t xml:space="preserve"> związane z napisami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języku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>. Wykorzystanie zmiennych. Pisanie prostych programów realizujących obliczenia. Wypisywanie wyników.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odpowiednio wykorzystuje proste operacje matematyczne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odpowiednio wykorzystuje zmienne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podstawowe operatory arytmetyczne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deklaruje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wykorzystuje zmienne w programie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pisze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programy wykonujące proste obliczenia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wyniki obliczeń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rozwiązuje dodatkowe zadania obliczeniowe</w:t>
            </w:r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zmienia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wartość początkową zmiennej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prostą instrukcję warunkową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stosuje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instrukcję warunkową</w:t>
            </w:r>
          </w:p>
        </w:tc>
      </w:tr>
      <w:tr w:rsidR="00185C87" w:rsidRPr="00D11148" w:rsidTr="0099559C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analizuje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schemat blokowy algorytmu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oblicza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sumę cyfr podanej liczby</w:t>
            </w:r>
          </w:p>
          <w:p w:rsidR="00185C87" w:rsidRPr="00D11148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wykorzystuje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185C87" w:rsidRPr="00D11148" w:rsidTr="00995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sz w:val="20"/>
                <w:szCs w:val="20"/>
                <w:lang w:val="pl-PL"/>
              </w:rPr>
              <w:t xml:space="preserve"> rozwiązuje dodatkowe zadania programistyczne</w:t>
            </w:r>
            <w:r w:rsidR="00807944" w:rsidRPr="00D11148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185C87" w:rsidRPr="00D11148" w:rsidTr="0099559C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zasady gry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biorąc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udział w grze, potrafi zastosować optymalną strategię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znajduje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maksymalną liczbę kroków odgadywania danej liczby</w:t>
            </w:r>
          </w:p>
        </w:tc>
      </w:tr>
      <w:tr w:rsidR="00185C87" w:rsidRPr="00D11148" w:rsidTr="004B45FE">
        <w:trPr>
          <w:trHeight w:val="68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losuje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liczby całkowite z danego zakresu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185C87" w:rsidRPr="00D11148" w:rsidTr="004B45FE">
        <w:trPr>
          <w:trHeight w:val="102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schemat blokowy algorytmu obliczania sumy cyfr dowolnej liczby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implementuje grę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, korzystając ze wskazówek </w:t>
            </w:r>
          </w:p>
          <w:p w:rsidR="00185C87" w:rsidRPr="00D11148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podręczniku</w:t>
            </w:r>
          </w:p>
        </w:tc>
      </w:tr>
      <w:tr w:rsidR="00185C87" w:rsidRPr="00D11148" w:rsidTr="004B45FE">
        <w:trPr>
          <w:trHeight w:val="794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rozwiązuje dodatkowe zadania programistyczne</w:t>
            </w:r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związane z algorytmami wymienionymi w punkcie I.2 </w:t>
            </w:r>
            <w:proofErr w:type="gramStart"/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podstawy</w:t>
            </w:r>
            <w:proofErr w:type="gramEnd"/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programowej</w:t>
            </w:r>
          </w:p>
        </w:tc>
      </w:tr>
    </w:tbl>
    <w:p w:rsidR="004B45FE" w:rsidRDefault="004B45FE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dany</w:t>
            </w:r>
            <w:r w:rsidR="000726D9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185C87" w:rsidRPr="00D11148" w:rsidTr="004B45FE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Jak to z Gaussem </w:t>
            </w:r>
            <w:proofErr w:type="gram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było</w:t>
            </w:r>
            <w:proofErr w:type="gram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Sumowanie w arkuszu kalkulacyjnym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orządkowanie danych w tabelach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nalizowanie danych zapisanych </w:t>
            </w:r>
          </w:p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w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arkuszu i obliczeń w poszukiwaniu prawidłowości.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360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korzysta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z arkusza kalkulacyjnego w podstawowym zakresie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>, w tym wprowadza dane różnych typów, wprowadza i kopiuje proste formuły obliczeniowe</w:t>
            </w:r>
          </w:p>
        </w:tc>
      </w:tr>
      <w:tr w:rsidR="00185C87" w:rsidRPr="00D11148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wykonuje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arkuszu proste obliczenia</w:t>
            </w:r>
          </w:p>
          <w:p w:rsidR="00185C87" w:rsidRPr="00D11148" w:rsidRDefault="00185C87" w:rsidP="000726D9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wykorzystuje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arkusz do szybkiego rozwiązywania zadań związanych z sumowaniem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, </w:t>
            </w:r>
            <w:r w:rsidR="0099559C">
              <w:rPr>
                <w:rFonts w:cs="Arial Narrow"/>
                <w:sz w:val="20"/>
                <w:szCs w:val="20"/>
                <w:lang w:val="pl-PL"/>
              </w:rPr>
              <w:br/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proofErr w:type="spellStart"/>
            <w:r w:rsidR="000726D9" w:rsidRPr="00D11148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  <w:proofErr w:type="spellEnd"/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rozwiązuje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arkuszu proste zadania matematyczne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planuje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wykonywanie obliczeń w arkuszu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analizuje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dane zawarte w arkuszu w poszukiwaniu prawidłowości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formułuje wnioski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Pr="00D11148" w:rsidRDefault="00D123A2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funkcji do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orównywanie ciągów liczbowych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łączanie ochrony arkusza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D5628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formuła i format liczbowy, i używa ich w zadaniu</w:t>
            </w:r>
          </w:p>
        </w:tc>
      </w:tr>
      <w:tr w:rsidR="00185C87" w:rsidRPr="00D11148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wprowadza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arkusza serie danych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formuły i funkcje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odróżnia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różne formaty liczbowe</w:t>
            </w:r>
          </w:p>
        </w:tc>
      </w:tr>
      <w:tr w:rsidR="00185C87" w:rsidRPr="00D11148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wykonywanie obliczeń w arkuszu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porównuje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ciągi liczbowe i odnajduje występujące w nich prawidłowości</w:t>
            </w:r>
          </w:p>
        </w:tc>
      </w:tr>
      <w:tr w:rsidR="00185C87" w:rsidRPr="00D11148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dane zawarte w arkuszu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prosty kalkulator matematyczny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uniemożliwia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zmianę danych w arkuszu (włącza ochronę arkusza)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formułuje wnioski</w:t>
            </w:r>
          </w:p>
        </w:tc>
      </w:tr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za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pomocą kreatora wykresów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stawianie </w:t>
            </w:r>
          </w:p>
          <w:p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formatowanie wykresu punktowego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wykres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przygotowuje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dane do wykonania wykresu funkcji liniowej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wykresy funkcji liniowych za pomocą kreatora wykresów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formatuje elementy wykresu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wykonuje własne zestawienia danych z wykresami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formułuje wnioski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Przeglądanie i sortowanie dużych zestawów danych w arkuszu kalkulacyjnym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T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worzenie tabeli przestawnej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ykonywanie prostych obliczeń statystycznych </w:t>
            </w:r>
          </w:p>
          <w:p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prezentowanie ich w arkuszu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, 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czym jest funkcja, i z pomocą nauczyciela korzysta z kreatora funkcji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sortuje i filtruje w arkuszu duże zestawy danych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korzysta z funkcji statystyczn</w:t>
            </w:r>
            <w:r w:rsidR="00D5628C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ej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BE06C4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LICZ.JEŻELI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tabelę przestawną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wykonuje własne zestawienia z tabelami przestawnymi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formułuje wnioski</w:t>
            </w:r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p w:rsidR="00D123A2" w:rsidRDefault="00D123A2"/>
    <w:p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Dużo danych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Przeglądanie i analizowanie dużych zestawów danych w arkuszu kalkulacyjnym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Z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astosowanie wybranych funkcji statystycznych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rzetwarzanie rozproszone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arkusza kalkulacyjnego w zakresie</w:t>
            </w:r>
            <w:r w:rsidR="00D5628C" w:rsidRPr="00D11148">
              <w:rPr>
                <w:rFonts w:asciiTheme="minorHAnsi" w:hAnsiTheme="minorHAnsi"/>
                <w:lang w:val="pl-PL" w:eastAsia="en-US"/>
              </w:rPr>
              <w:t xml:space="preserve"> wskazanym w lekcjach 3.1–3.4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przegląda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 arkuszu duże tabele i wyszukuje dane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funkcji statystycznych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ŚREDNIA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MIN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MAX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i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MEDIANA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omawia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specyfikę przetwarzania rozproszonego i opisuje wybrane projekty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uczestniczy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 projekcie przetwarzania rozproszonego</w:t>
            </w:r>
            <w:r w:rsidRPr="00D11148" w:rsidDel="00D5628C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formułuje wnioski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Moi znajomi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Kartotekowa baza danych w arkuszu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kalkulacyjnym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>, czym jest kartotekowa baza danych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dane do arkusza udostępnionego do edycji w chmurze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sortuje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i filtruje dane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sprawnie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wyszukuje dane o wybranych kryteriach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formularz w celu dopisywania lub poprawiania rekordów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rozbudowuje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bazę danych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oblicza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wystąpienia pewnych danych za pomocą wbudowanych funkcji</w:t>
            </w:r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Od królików </w:t>
            </w:r>
            <w:r w:rsidR="0099559C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do złotej proporcji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D5628C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iczby </w:t>
            </w:r>
            <w:proofErr w:type="spellStart"/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Fibonacciego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Tworzenie ciągu </w:t>
            </w:r>
            <w:proofErr w:type="spellStart"/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Fibonacciego</w:t>
            </w:r>
            <w:proofErr w:type="spellEnd"/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we wspólnym skoroszycie </w:t>
            </w:r>
            <w:r w:rsidR="00BE06C4">
              <w:rPr>
                <w:rFonts w:asciiTheme="minorHAnsi" w:hAnsiTheme="minorHAnsi"/>
                <w:color w:val="231F20"/>
                <w:sz w:val="20"/>
                <w:lang w:val="pl-PL"/>
              </w:rPr>
              <w:t>arkusza kalkulacyjnego Google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sposób tworzenia ciągu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Fibonacciego</w:t>
            </w:r>
            <w:proofErr w:type="spellEnd"/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korzysta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wspólnie z innymi z arkusza kalkulacyjnego Google</w:t>
            </w:r>
          </w:p>
        </w:tc>
      </w:tr>
      <w:tr w:rsidR="00185C87" w:rsidRPr="00D11148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udostępnia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arkusz i redaguje go wspólnie z innymi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oblicza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arkuszu kolejne wyrazy ciągu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Fibonacciego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 ich ilorazy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 wyjaśnia związek między ciągiem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Fibonacciego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 złotą proporcją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wyszukuje informacje na temat ciągu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Fibonacciego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 złotej proporcji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w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arkuszu kalkulacyjnym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procesu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o losowym przebiegu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>, czym jest doświadczenie losowe, i używa prostej funkcji losującej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korzysta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z funkcji losowych w arkuszu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trafnie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ocenia wynik prostego doświadczenia losowego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przeprowadza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zadaną symulację prostego doświadczenia z użyciem funkcji losującej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wykonuje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wykres wyników doświadczenia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planuje i przeprowadza symulację procesu o losowym przebiegu</w:t>
            </w:r>
          </w:p>
        </w:tc>
      </w:tr>
      <w:tr w:rsidR="00185C87" w:rsidRPr="00D11148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planuje obliczenia i formułuje wnioski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proponuje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doświadczenie losowe i zawczasu ocenia jego przebieg</w:t>
            </w:r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Scratchu</w:t>
            </w:r>
            <w:proofErr w:type="spellEnd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i 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Scratchu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i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pojęcie fraktala i podaje przykłady fraktali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budowę </w:t>
            </w:r>
            <w:r w:rsidR="007236C4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regularnego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drzewa binarnego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analizuje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rekurencyjny algorytm rysowania drzewa binarnego zapisany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program rysujący drzewo binarne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dokonuje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zmian w algorytmie przez wprowadzenie losowości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realizuje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zmodyfikowany algorytm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smartfonie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Sierpińskiego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budowę jednego z fraktali: trójkąta Sierpińskiego lub płatka Kocha</w:t>
            </w:r>
          </w:p>
        </w:tc>
      </w:tr>
      <w:tr w:rsidR="00185C87" w:rsidRPr="00D11148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budowę 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trójkąta Sierpińskiego </w:t>
            </w:r>
            <w:r w:rsidR="00BE06C4">
              <w:rPr>
                <w:rFonts w:asciiTheme="minorHAnsi" w:hAnsiTheme="minorHAnsi"/>
                <w:lang w:val="pl-PL" w:eastAsia="en-US"/>
              </w:rPr>
              <w:t>i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 płatka Kocha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analizuje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algorytmy rekurencyjne tworzenia fraktali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aplikację rysującą jeden z fraktali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</w:t>
            </w:r>
          </w:p>
        </w:tc>
      </w:tr>
      <w:tr w:rsidR="00185C87" w:rsidRPr="00D11148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tworzy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 aplikację w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edłu</w:t>
            </w:r>
            <w:r w:rsidRPr="00D11148">
              <w:rPr>
                <w:rFonts w:asciiTheme="minorHAnsi" w:hAnsiTheme="minorHAnsi"/>
                <w:lang w:val="pl-PL" w:eastAsia="en-US"/>
              </w:rPr>
              <w:t>g własnego pomysłu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D11148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  <w:p w:rsidR="00D123A2" w:rsidRPr="00D11148" w:rsidRDefault="00D123A2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micro</w:t>
            </w:r>
            <w:proofErr w:type="gram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:bit</w:t>
            </w:r>
            <w:proofErr w:type="spellEnd"/>
            <w:proofErr w:type="gram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za pomocą bloków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MakeCode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. Aplikacja mobilna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Phyphox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i możliwości wykonywania pomiarów za pomocą telefonu.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opisuje budowę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</w:t>
            </w: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:bit</w:t>
            </w:r>
            <w:proofErr w:type="spellEnd"/>
            <w:proofErr w:type="gramEnd"/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programuje płytkę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</w:t>
            </w: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:bit</w:t>
            </w:r>
            <w:proofErr w:type="spellEnd"/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środowisku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MakeCode</w:t>
            </w:r>
            <w:proofErr w:type="spell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wykonuje pomiary za pomocą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</w:t>
            </w: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:bit</w:t>
            </w:r>
            <w:proofErr w:type="spellEnd"/>
            <w:proofErr w:type="gram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instaluje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urządzeniu mobilnym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:rsidTr="004B45FE">
        <w:trPr>
          <w:trHeight w:val="22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wykorzystuje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wykonywania pomiarów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planuje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 wykonuje pomiary w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</w:tc>
      </w:tr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komputerze i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smartfonie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serwisów mapowych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wskazuje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serwisy i aplikacje zawierające mapy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podstawowym zakresie korzysta z różnorodnych serwisów zawierających mapy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korzysta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z serwisów zawierających mapy i przy ich pomocy planuje podróż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wyjaśnia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>, czym są GIS i GPS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aktywnie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korzysta z serwisów mapowych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planuje podróż, porównuje i weryfikuje dane z różnych serwisów</w:t>
            </w:r>
          </w:p>
        </w:tc>
      </w:tr>
      <w:tr w:rsidR="00185C87" w:rsidRPr="00D11148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="007F396F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185C87" w:rsidRPr="00D11148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Rozwijaj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zainteresowania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erwisy wspomagające samodzielną naukę i rozwijanie zainteresowań – platforma Zooniverse.</w:t>
            </w:r>
            <w:proofErr w:type="gram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org</w:t>
            </w:r>
            <w:proofErr w:type="gram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Scistarter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, portale TED.</w:t>
            </w:r>
            <w:proofErr w:type="gram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com</w:t>
            </w:r>
            <w:proofErr w:type="gram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i Ed.TED.</w:t>
            </w:r>
            <w:proofErr w:type="gram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com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podstawowym zakresie korzysta ze wskazanych aplikacji i serwisów</w:t>
            </w:r>
          </w:p>
        </w:tc>
      </w:tr>
      <w:tr w:rsidR="00185C87" w:rsidRPr="00D11148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pełnym zakresie korzysta ze wskazanych aplikacji i serwisów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samodzielnie znalezionych aplikacji i serwisów wspomagających naukę </w:t>
            </w:r>
            <w:r w:rsidR="0099559C">
              <w:rPr>
                <w:rFonts w:asciiTheme="minorHAnsi" w:hAnsiTheme="minorHAnsi"/>
                <w:lang w:val="pl-PL" w:eastAsia="en-US"/>
              </w:rPr>
              <w:br/>
            </w:r>
            <w:r w:rsidRPr="00D11148">
              <w:rPr>
                <w:rFonts w:asciiTheme="minorHAnsi" w:hAnsiTheme="minorHAnsi"/>
                <w:lang w:val="pl-PL" w:eastAsia="en-US"/>
              </w:rPr>
              <w:t>i rozwijających zainteresowania</w:t>
            </w:r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buduje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własną bazę wiedzy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prezentuje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 klasie wyszukane aplikacje i serwisy wspomagające naukę i rozwijające zainteresowania i poddaje je krytycznej ocenie pod kątem użytkowości oraz przydatności</w:t>
            </w:r>
          </w:p>
        </w:tc>
      </w:tr>
    </w:tbl>
    <w:p w:rsidR="004B45FE" w:rsidRDefault="004B45FE"/>
    <w:p w:rsidR="00D123A2" w:rsidRDefault="00D123A2"/>
    <w:p w:rsidR="00D123A2" w:rsidRDefault="00D123A2"/>
    <w:p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kursy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udostępnione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Akademii Khana</w:t>
            </w:r>
          </w:p>
        </w:tc>
      </w:tr>
      <w:tr w:rsidR="00185C87" w:rsidRPr="00D11148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proofErr w:type="gramEnd"/>
            <w:r w:rsidR="00BE06C4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185C87" w:rsidRPr="00D11148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korzysta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z portalu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e-learningowego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Akademii Khana</w:t>
            </w:r>
          </w:p>
        </w:tc>
      </w:tr>
      <w:tr w:rsidR="00185C87" w:rsidRPr="00D11148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sz w:val="20"/>
                <w:szCs w:val="20"/>
                <w:lang w:val="pl-PL"/>
              </w:rPr>
              <w:t>analizuje</w:t>
            </w:r>
            <w:proofErr w:type="gram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i wybiera stosownie do zainteresowań kursy w Akademii Khana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podejmuje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samodzielną naukę w Akademii Khana lub uczestniczy w kursie MOOC</w:t>
            </w:r>
          </w:p>
        </w:tc>
      </w:tr>
      <w:tr w:rsidR="00185C87" w:rsidRPr="00D11148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Mikogo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z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pomocą nauczyciela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dołącz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do istniejącej sesji z wykorzystaniem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inicj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sesję i zapr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asza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współpracy innych użytkowników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udostępnia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pulpit innym uczestnikom sesji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aktywnie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uczestniczy we wspólnej pracy nad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koordynuj</w:t>
            </w:r>
            <w:r w:rsidR="00BE06C4">
              <w:rPr>
                <w:rFonts w:asciiTheme="minorHAnsi" w:hAnsiTheme="minorHAnsi"/>
                <w:lang w:val="pl-PL" w:eastAsia="en-US"/>
              </w:rPr>
              <w:t>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pracą zespołu nad wspólnym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</w:tbl>
    <w:p w:rsidR="004B45FE" w:rsidRDefault="004B45FE"/>
    <w:p w:rsidR="004B45FE" w:rsidRDefault="004B45FE"/>
    <w:p w:rsidR="00D123A2" w:rsidRDefault="00D123A2"/>
    <w:p w:rsidR="00D123A2" w:rsidRDefault="00D123A2"/>
    <w:p w:rsidR="00D123A2" w:rsidRDefault="00D123A2"/>
    <w:p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4B45FE" w:rsidRPr="00D11148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</w:t>
            </w:r>
            <w:proofErr w:type="spellStart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smartfonem</w:t>
            </w:r>
            <w:proofErr w:type="spellEnd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wycieczki z wykorzystaniem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urządzenia mobilnego</w:t>
            </w:r>
            <w:r w:rsidR="00821D4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ublikowanie trasy wycieczki w </w:t>
            </w:r>
            <w:proofErr w:type="spellStart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4B45FE">
              <w:rPr>
                <w:rFonts w:asciiTheme="minorHAnsi" w:eastAsiaTheme="minorHAnsi" w:hAnsiTheme="minorHAnsi"/>
                <w:lang w:val="pl-PL" w:eastAsia="en-US"/>
              </w:rPr>
              <w:t>z</w:t>
            </w:r>
            <w:proofErr w:type="gramEnd"/>
            <w:r w:rsidRPr="004B45FE">
              <w:rPr>
                <w:rFonts w:asciiTheme="minorHAnsi" w:eastAsiaTheme="minorHAnsi" w:hAnsiTheme="minorHAnsi"/>
                <w:lang w:val="pl-PL" w:eastAsia="en-US"/>
              </w:rPr>
              <w:t xml:space="preserve"> p</w:t>
            </w: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omocą nauczyciela instaluje aplikację </w:t>
            </w:r>
            <w:proofErr w:type="spellStart"/>
            <w:r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BE06C4" w:rsidRPr="00BE06C4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podstawowe punkty regulaminu korzystania z usługi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eastAsiaTheme="minorHAnsi" w:hAnsiTheme="minorHAnsi"/>
                <w:lang w:val="pl-PL" w:eastAsia="en-US"/>
              </w:rPr>
              <w:t>z</w:t>
            </w:r>
            <w:proofErr w:type="gramEnd"/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 pomocą nauczyciela tworzy konto </w:t>
            </w:r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 xml:space="preserve">w aplikacji </w:t>
            </w:r>
            <w:proofErr w:type="spellStart"/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:rsidTr="0099559C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="00BE06C4"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="00BE06C4"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  <w:r w:rsidR="00BE06C4">
              <w:rPr>
                <w:sz w:val="20"/>
                <w:szCs w:val="20"/>
                <w:lang w:val="pl-PL"/>
              </w:rPr>
              <w:t xml:space="preserve"> i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tworzy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swoje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konto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pomocą nauczyciela rejestruje i publikuje przebytą trasę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podczas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rejestracji trasy zaznacza ciekawe miejsca na mapie i dodaje zdjęcia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proofErr w:type="gram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rejestruje i publikuje przebytą trasę</w:t>
            </w:r>
          </w:p>
        </w:tc>
      </w:tr>
      <w:tr w:rsidR="00185C87" w:rsidRPr="00D11148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opisuje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zarejestrowaną i opublikowaną trasę, stosując trafne i wyczerpujące komentarze</w:t>
            </w:r>
          </w:p>
        </w:tc>
      </w:tr>
      <w:tr w:rsidR="00185C87" w:rsidRPr="00D11148" w:rsidTr="0099559C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proofErr w:type="gram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jej zastosowanie. Wybrane aplikacje wykorzystujące technologię rozszerzonej rzeczywistości</w:t>
            </w:r>
            <w:r w:rsidR="00821D40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proofErr w:type="gramEnd"/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znaczenie pojęcia </w:t>
            </w:r>
            <w:r w:rsidRPr="00D11148">
              <w:rPr>
                <w:rFonts w:asciiTheme="minorHAnsi" w:hAnsiTheme="minorHAnsi"/>
                <w:lang w:val="pl-PL" w:eastAsia="en-US"/>
              </w:rPr>
              <w:t>rozszerzona rzeczywistość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i skrótowca AR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wyszukuje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i opisuje omawiane na lekcji aplikacje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korzysta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z technologii AR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odróżnia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rozszerzoną rzeczywistość od rzeczywistości wirtualnej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instaluje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omawiane na lekcji aplikacje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podaje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przykłady wykorzystania technologii AR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wykorzystuje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aplikacje, np. wykonuj</w:t>
            </w:r>
            <w:r w:rsidR="00E94453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zdjęcia w aplikacji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Spacecraft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3D</w:t>
            </w:r>
          </w:p>
        </w:tc>
      </w:tr>
      <w:tr w:rsidR="00185C87" w:rsidRPr="00D11148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podaje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przykłady sytuacji, w których zastosowanie technologii AR byłoby przydatne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wyszukuje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i obsługuje inne aplikacje wykorzystujące technologię AR</w:t>
            </w:r>
          </w:p>
        </w:tc>
      </w:tr>
      <w:tr w:rsidR="00185C87" w:rsidRPr="00D11148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D11148">
              <w:rPr>
                <w:rFonts w:asciiTheme="minorHAnsi" w:hAnsiTheme="minorHAnsi" w:cstheme="minorHAnsi"/>
                <w:lang w:val="pl-PL"/>
              </w:rPr>
              <w:t xml:space="preserve">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proofErr w:type="gramStart"/>
            <w:r w:rsidRPr="00D11148">
              <w:rPr>
                <w:rFonts w:asciiTheme="minorHAnsi" w:hAnsiTheme="minorHAnsi"/>
                <w:lang w:val="pl-PL" w:eastAsia="en-US"/>
              </w:rPr>
              <w:t>samodzielnie</w:t>
            </w:r>
            <w:proofErr w:type="gramEnd"/>
            <w:r w:rsidRPr="00D11148">
              <w:rPr>
                <w:rFonts w:asciiTheme="minorHAnsi" w:hAnsiTheme="minorHAnsi"/>
                <w:lang w:val="pl-PL" w:eastAsia="en-US"/>
              </w:rPr>
              <w:t xml:space="preserve"> wyszukuje aplikacje wykorzystujące technologię AR, instaluje je i omawia ich możliwości</w:t>
            </w:r>
          </w:p>
        </w:tc>
      </w:tr>
    </w:tbl>
    <w:p w:rsidR="00185C87" w:rsidRPr="00D11148" w:rsidRDefault="00185C87" w:rsidP="00185C87"/>
    <w:p w:rsidR="006B5810" w:rsidRPr="00D11148" w:rsidRDefault="006B5810" w:rsidP="00185C87"/>
    <w:sectPr w:rsidR="006B5810" w:rsidRPr="00D11148" w:rsidSect="007B4E4F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7A" w:rsidRDefault="008B3B7A" w:rsidP="00285D6F">
      <w:pPr>
        <w:spacing w:after="0" w:line="240" w:lineRule="auto"/>
      </w:pPr>
      <w:r>
        <w:separator/>
      </w:r>
    </w:p>
  </w:endnote>
  <w:endnote w:type="continuationSeparator" w:id="0">
    <w:p w:rsidR="008B3B7A" w:rsidRDefault="008B3B7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C4" w:rsidRDefault="005D6552" w:rsidP="00B75061">
    <w:pPr>
      <w:pStyle w:val="Stopka"/>
      <w:tabs>
        <w:tab w:val="clear" w:pos="9072"/>
        <w:tab w:val="right" w:pos="9639"/>
      </w:tabs>
      <w:spacing w:before="120"/>
      <w:ind w:left="-567"/>
      <w:rPr>
        <w:noProof/>
        <w:lang w:eastAsia="pl-PL"/>
      </w:rPr>
    </w:pPr>
    <w:r w:rsidRPr="005D6552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3360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</w:p>
  <w:p w:rsidR="00BE06C4" w:rsidRDefault="005D6552" w:rsidP="009130E5">
    <w:pPr>
      <w:pStyle w:val="Stopka"/>
      <w:ind w:left="-1417"/>
      <w:jc w:val="center"/>
    </w:pPr>
    <w:r>
      <w:fldChar w:fldCharType="begin"/>
    </w:r>
    <w:r w:rsidR="00BE06C4">
      <w:instrText>PAGE   \* MERGEFORMAT</w:instrText>
    </w:r>
    <w:r>
      <w:fldChar w:fldCharType="separate"/>
    </w:r>
    <w:r w:rsidR="002117F8">
      <w:rPr>
        <w:noProof/>
      </w:rPr>
      <w:t>3</w:t>
    </w:r>
    <w:r>
      <w:fldChar w:fldCharType="end"/>
    </w:r>
  </w:p>
  <w:p w:rsidR="00BE06C4" w:rsidRPr="00285D6F" w:rsidRDefault="00BE06C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7A" w:rsidRDefault="008B3B7A" w:rsidP="00285D6F">
      <w:pPr>
        <w:spacing w:after="0" w:line="240" w:lineRule="auto"/>
      </w:pPr>
      <w:r>
        <w:separator/>
      </w:r>
    </w:p>
  </w:footnote>
  <w:footnote w:type="continuationSeparator" w:id="0">
    <w:p w:rsidR="008B3B7A" w:rsidRDefault="008B3B7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C4" w:rsidRDefault="00BE06C4" w:rsidP="00EC12C2">
    <w:pPr>
      <w:pStyle w:val="Nagwek"/>
      <w:tabs>
        <w:tab w:val="clear" w:pos="9072"/>
      </w:tabs>
      <w:spacing w:after="40"/>
      <w:ind w:left="142" w:right="142"/>
    </w:pPr>
  </w:p>
  <w:p w:rsidR="00BE06C4" w:rsidRDefault="00BE06C4" w:rsidP="00435B7E">
    <w:pPr>
      <w:pStyle w:val="Nagwek"/>
      <w:tabs>
        <w:tab w:val="clear" w:pos="9072"/>
      </w:tabs>
      <w:ind w:left="142" w:right="142"/>
    </w:pPr>
  </w:p>
  <w:p w:rsidR="00BE06C4" w:rsidRDefault="00BE06C4" w:rsidP="00435B7E">
    <w:pPr>
      <w:pStyle w:val="Nagwek"/>
      <w:tabs>
        <w:tab w:val="clear" w:pos="9072"/>
      </w:tabs>
      <w:ind w:left="142" w:right="142"/>
    </w:pPr>
  </w:p>
  <w:p w:rsidR="00BE06C4" w:rsidRDefault="00BE06C4" w:rsidP="00951A32">
    <w:pPr>
      <w:pStyle w:val="Nagwek"/>
      <w:tabs>
        <w:tab w:val="clear" w:pos="9072"/>
      </w:tabs>
      <w:ind w:left="142" w:right="-283"/>
    </w:pPr>
  </w:p>
  <w:p w:rsidR="00BE06C4" w:rsidRDefault="00BE06C4" w:rsidP="000A7BD3">
    <w:pPr>
      <w:pStyle w:val="Nagwek"/>
      <w:tabs>
        <w:tab w:val="clear" w:pos="4536"/>
        <w:tab w:val="clear" w:pos="9072"/>
        <w:tab w:val="left" w:pos="11268"/>
      </w:tabs>
      <w:ind w:left="142" w:right="-28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27"/>
  </w:num>
  <w:num w:numId="11">
    <w:abstractNumId w:val="22"/>
  </w:num>
  <w:num w:numId="12">
    <w:abstractNumId w:val="20"/>
  </w:num>
  <w:num w:numId="13">
    <w:abstractNumId w:val="30"/>
  </w:num>
  <w:num w:numId="14">
    <w:abstractNumId w:val="29"/>
  </w:num>
  <w:num w:numId="15">
    <w:abstractNumId w:val="26"/>
  </w:num>
  <w:num w:numId="16">
    <w:abstractNumId w:val="13"/>
  </w:num>
  <w:num w:numId="17">
    <w:abstractNumId w:val="23"/>
  </w:num>
  <w:num w:numId="18">
    <w:abstractNumId w:val="4"/>
  </w:num>
  <w:num w:numId="19">
    <w:abstractNumId w:val="14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18"/>
  </w:num>
  <w:num w:numId="28">
    <w:abstractNumId w:val="9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2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279F"/>
    <w:rsid w:val="000554F0"/>
    <w:rsid w:val="000726D9"/>
    <w:rsid w:val="00087E20"/>
    <w:rsid w:val="000A7BD3"/>
    <w:rsid w:val="000E1370"/>
    <w:rsid w:val="00101C39"/>
    <w:rsid w:val="00106B14"/>
    <w:rsid w:val="001520D8"/>
    <w:rsid w:val="001555D3"/>
    <w:rsid w:val="00162D93"/>
    <w:rsid w:val="00163B73"/>
    <w:rsid w:val="00164C9E"/>
    <w:rsid w:val="0018360C"/>
    <w:rsid w:val="00185C87"/>
    <w:rsid w:val="001B22B1"/>
    <w:rsid w:val="001D4B27"/>
    <w:rsid w:val="001E4CB0"/>
    <w:rsid w:val="001F0820"/>
    <w:rsid w:val="002117F8"/>
    <w:rsid w:val="00213659"/>
    <w:rsid w:val="00236B73"/>
    <w:rsid w:val="00245DA5"/>
    <w:rsid w:val="00285D6F"/>
    <w:rsid w:val="002B2CC5"/>
    <w:rsid w:val="002B7674"/>
    <w:rsid w:val="002F1910"/>
    <w:rsid w:val="00301E53"/>
    <w:rsid w:val="00317434"/>
    <w:rsid w:val="003572A4"/>
    <w:rsid w:val="003649AA"/>
    <w:rsid w:val="00367035"/>
    <w:rsid w:val="003A1E8E"/>
    <w:rsid w:val="003B19DC"/>
    <w:rsid w:val="003B6913"/>
    <w:rsid w:val="003E2634"/>
    <w:rsid w:val="0040704A"/>
    <w:rsid w:val="00422312"/>
    <w:rsid w:val="0042715B"/>
    <w:rsid w:val="00435B7E"/>
    <w:rsid w:val="00443405"/>
    <w:rsid w:val="00492022"/>
    <w:rsid w:val="004B45FE"/>
    <w:rsid w:val="004D1A7B"/>
    <w:rsid w:val="00511EAB"/>
    <w:rsid w:val="00542C20"/>
    <w:rsid w:val="00592B22"/>
    <w:rsid w:val="005C15DA"/>
    <w:rsid w:val="005D6552"/>
    <w:rsid w:val="005E1192"/>
    <w:rsid w:val="00602ABB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7236C4"/>
    <w:rsid w:val="007802F8"/>
    <w:rsid w:val="007963FD"/>
    <w:rsid w:val="007A15D3"/>
    <w:rsid w:val="007B3CB5"/>
    <w:rsid w:val="007B4C9E"/>
    <w:rsid w:val="007B4E4F"/>
    <w:rsid w:val="007F396F"/>
    <w:rsid w:val="007F74BD"/>
    <w:rsid w:val="00807944"/>
    <w:rsid w:val="00821D40"/>
    <w:rsid w:val="0082231B"/>
    <w:rsid w:val="008224E0"/>
    <w:rsid w:val="00830B98"/>
    <w:rsid w:val="0083577E"/>
    <w:rsid w:val="00837F94"/>
    <w:rsid w:val="008648E0"/>
    <w:rsid w:val="0089186E"/>
    <w:rsid w:val="008A4376"/>
    <w:rsid w:val="008A4B10"/>
    <w:rsid w:val="008B3B7A"/>
    <w:rsid w:val="008C2636"/>
    <w:rsid w:val="008D6F45"/>
    <w:rsid w:val="008E03BC"/>
    <w:rsid w:val="00907F14"/>
    <w:rsid w:val="009130E5"/>
    <w:rsid w:val="00913160"/>
    <w:rsid w:val="00914856"/>
    <w:rsid w:val="00924FE7"/>
    <w:rsid w:val="00933A87"/>
    <w:rsid w:val="00951A32"/>
    <w:rsid w:val="009619A7"/>
    <w:rsid w:val="00995129"/>
    <w:rsid w:val="0099559C"/>
    <w:rsid w:val="009D4894"/>
    <w:rsid w:val="009E0F62"/>
    <w:rsid w:val="009F20DC"/>
    <w:rsid w:val="00A239DF"/>
    <w:rsid w:val="00A5798A"/>
    <w:rsid w:val="00A869D7"/>
    <w:rsid w:val="00A9137F"/>
    <w:rsid w:val="00AB49BA"/>
    <w:rsid w:val="00B63701"/>
    <w:rsid w:val="00B75061"/>
    <w:rsid w:val="00B93EBD"/>
    <w:rsid w:val="00BE06C4"/>
    <w:rsid w:val="00C10782"/>
    <w:rsid w:val="00D11148"/>
    <w:rsid w:val="00D123A2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E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7AAD-E3DC-4C24-907B-B5B3ACA2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3236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SAMSUNG</cp:lastModifiedBy>
  <cp:revision>81</cp:revision>
  <dcterms:created xsi:type="dcterms:W3CDTF">2015-05-26T09:01:00Z</dcterms:created>
  <dcterms:modified xsi:type="dcterms:W3CDTF">2022-09-05T18:06:00Z</dcterms:modified>
</cp:coreProperties>
</file>